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sz w:val="34"/>
        </w:rPr>
        <w:t>ΕΒΔΟΜΑΔΙΑΙΟ ΕΝΗΜΕΡΩΤΙΚΟ ΔΕΛΤΙΟ</w:t>
        <w:br/>
        <w:t>ΕΡΕΥΝΑΣ ΣΤΗ ΦΥΣΙΚΟΘΕΡΑΠΕΙΑ</w:t>
      </w:r>
    </w:p>
    <w:p>
      <w:pPr>
        <w:jc w:val="center"/>
      </w:pPr>
      <w:r>
        <w:rPr>
          <w:b/>
          <w:sz w:val="24"/>
        </w:rPr>
        <w:t>Δημοσιεύσεις της εβδομάδας - 21 Αυγούστου 2026</w:t>
      </w:r>
    </w:p>
    <w:p>
      <w:pPr>
        <w:jc w:val="both"/>
      </w:pPr>
      <w:r>
        <w:t>Επιλεγμένες πρόσφατες δημοσιεύσεις με ιδιαίτερο ενδιαφέρον για τη θεραπευτική άσκηση, τις καινοτόμες πρακτικές, την τεχνολογία αποκατάστασης, τις επαγγελματικές δεξιότητες και τη συνεχιζόμενη επαγγελματική ανάπτυξη.</w:t>
      </w:r>
    </w:p>
    <w:tbl>
      <w:tblPr>
        <w:tblStyle w:val="TableGrid"/>
        <w:tblW w:type="auto" w:w="0"/>
        <w:jc w:val="center"/>
        <w:tblLook w:firstColumn="1" w:firstRow="1" w:lastColumn="0" w:lastRow="0" w:noHBand="0" w:noVBand="1" w:val="04A0"/>
      </w:tblPr>
      <w:tblGrid>
        <w:gridCol w:w="2578"/>
        <w:gridCol w:w="2578"/>
        <w:gridCol w:w="2578"/>
        <w:gridCol w:w="2578"/>
      </w:tblGrid>
      <w:tr>
        <w:tc>
          <w:tcPr>
            <w:tcW w:type="dxa" w:w="2891"/>
            <w:shd w:fill="D9EAF7"/>
          </w:tcPr>
          <w:p>
            <w:r>
              <w:rPr>
                <w:b/>
                <w:sz w:val="19"/>
              </w:rPr>
              <w:t>Δημοσίευση</w:t>
            </w:r>
          </w:p>
        </w:tc>
        <w:tc>
          <w:tcPr>
            <w:tcW w:type="dxa" w:w="1928"/>
            <w:shd w:fill="D9EAF7"/>
          </w:tcPr>
          <w:p>
            <w:r>
              <w:rPr>
                <w:b/>
                <w:sz w:val="19"/>
              </w:rPr>
              <w:t>Πηγή / ημερομηνία / ενεργός σύνδεσμος</w:t>
            </w:r>
          </w:p>
        </w:tc>
        <w:tc>
          <w:tcPr>
            <w:tcW w:type="dxa" w:w="3969"/>
            <w:shd w:fill="D9EAF7"/>
          </w:tcPr>
          <w:p>
            <w:r>
              <w:rPr>
                <w:b/>
                <w:sz w:val="19"/>
              </w:rPr>
              <w:t>Κύριο πρακτικό συμπέρασμα</w:t>
            </w:r>
          </w:p>
        </w:tc>
        <w:tc>
          <w:tcPr>
            <w:tcW w:type="dxa" w:w="1814"/>
            <w:shd w:fill="D9EAF7"/>
          </w:tcPr>
          <w:p>
            <w:r>
              <w:rPr>
                <w:b/>
                <w:sz w:val="19"/>
              </w:rPr>
              <w:t>Ισχύς τεκμηρίωσης</w:t>
            </w:r>
          </w:p>
        </w:tc>
      </w:tr>
      <w:tr>
        <w:tc>
          <w:tcPr>
            <w:tcW w:type="dxa" w:w="2891"/>
            <w:vAlign w:val="top"/>
            <w:tcMar>
              <w:top w:w="90" w:type="dxa"/>
              <w:start w:w="90" w:type="dxa"/>
              <w:bottom w:w="90" w:type="dxa"/>
              <w:end w:w="90" w:type="dxa"/>
            </w:tcMar>
          </w:tcPr>
          <w:p>
            <w:r>
              <w:rPr>
                <w:rFonts w:ascii="Aptos" w:hAnsi="Aptos"/>
                <w:sz w:val="18"/>
              </w:rPr>
              <w:t>1. Επαναληπτική ανάπτυξη και αξιολόγηση χρηστικότητας πλατφόρμας ανοικτού κώδικα για την παρακολούθηση της αποκατάστασης</w:t>
            </w:r>
          </w:p>
        </w:tc>
        <w:tc>
          <w:tcPr>
            <w:tcW w:type="dxa" w:w="1928"/>
            <w:vAlign w:val="top"/>
            <w:tcMar>
              <w:top w:w="90" w:type="dxa"/>
              <w:start w:w="90" w:type="dxa"/>
              <w:bottom w:w="90" w:type="dxa"/>
              <w:end w:w="90" w:type="dxa"/>
            </w:tcMar>
          </w:tcPr>
          <w:p>
            <w:r>
              <w:rPr>
                <w:rFonts w:ascii="Aptos" w:hAnsi="Aptos"/>
                <w:sz w:val="18"/>
              </w:rPr>
              <w:t>JMIR Rehabilitation and Assistive Technologies - 13 Αυγούστου 2026</w:t>
            </w:r>
          </w:p>
          <w:p>
            <w:r>
              <w:rPr>
                <w:rFonts w:ascii="Aptos" w:hAnsi="Aptos"/>
                <w:b/>
                <w:sz w:val="18"/>
              </w:rPr>
              <w:t xml:space="preserve">Πηγή: </w:t>
            </w:r>
            <w:hyperlink r:id="rId20">
              <w:r>
                <w:rPr>
                  <w:color w:val="0563C1"/>
                  <w:u w:val="single"/>
                </w:rPr>
                <w:t>Επίσημη σελίδα JMIR: e100614</w:t>
              </w:r>
            </w:hyperlink>
          </w:p>
        </w:tc>
        <w:tc>
          <w:tcPr>
            <w:tcW w:type="dxa" w:w="3969"/>
            <w:vAlign w:val="top"/>
            <w:tcMar>
              <w:top w:w="90" w:type="dxa"/>
              <w:start w:w="90" w:type="dxa"/>
              <w:bottom w:w="90" w:type="dxa"/>
              <w:end w:w="90" w:type="dxa"/>
            </w:tcMar>
          </w:tcPr>
          <w:p>
            <w:r>
              <w:rPr>
                <w:rFonts w:ascii="Aptos" w:hAnsi="Aptos"/>
                <w:sz w:val="18"/>
              </w:rPr>
              <w:t>Παρουσιάζει πλατφόρμα τηλε-αποκατάστασης ανοικτού κώδικα που επιτρέπει εξατομικευμένα προγράμματα, παρακολούθηση προσήλωσης και ενσωμάτωση δεδομένων από φορετές συσκευές. Η χρηστικότητα αξιολογήθηκε ως εξαιρετική, αλλά απαιτείται ακόμη κλινική τεκμηρίωση αποτελεσματικότητας.</w:t>
            </w:r>
          </w:p>
        </w:tc>
        <w:tc>
          <w:tcPr>
            <w:tcW w:type="dxa" w:w="1814"/>
            <w:vAlign w:val="top"/>
            <w:tcMar>
              <w:top w:w="90" w:type="dxa"/>
              <w:start w:w="90" w:type="dxa"/>
              <w:bottom w:w="90" w:type="dxa"/>
              <w:end w:w="90" w:type="dxa"/>
            </w:tcMar>
          </w:tcPr>
          <w:p>
            <w:r>
              <w:rPr>
                <w:rFonts w:ascii="Aptos" w:hAnsi="Aptos"/>
                <w:sz w:val="18"/>
              </w:rPr>
              <w:t>Μέτρια - μελέτη ανάπτυξης και χρηστικότητας, όχι κλινική δοκιμή αποτελεσματικότητας.</w:t>
            </w:r>
          </w:p>
        </w:tc>
      </w:tr>
      <w:tr>
        <w:tc>
          <w:tcPr>
            <w:tcW w:type="dxa" w:w="2891"/>
            <w:vAlign w:val="top"/>
            <w:tcMar>
              <w:top w:w="90" w:type="dxa"/>
              <w:start w:w="90" w:type="dxa"/>
              <w:bottom w:w="90" w:type="dxa"/>
              <w:end w:w="90" w:type="dxa"/>
            </w:tcMar>
          </w:tcPr>
          <w:p>
            <w:r>
              <w:rPr>
                <w:rFonts w:ascii="Aptos" w:hAnsi="Aptos"/>
                <w:sz w:val="18"/>
              </w:rPr>
              <w:t>2. Κλινική συλλογιστική και θεραπευτικές στρατηγικές των φυσικοθεραπευτών στην ινομυαλγία: ποιοτική ερμηνευτική μελέτη</w:t>
            </w:r>
          </w:p>
        </w:tc>
        <w:tc>
          <w:tcPr>
            <w:tcW w:type="dxa" w:w="1928"/>
            <w:vAlign w:val="top"/>
            <w:tcMar>
              <w:top w:w="90" w:type="dxa"/>
              <w:start w:w="90" w:type="dxa"/>
              <w:bottom w:w="90" w:type="dxa"/>
              <w:end w:w="90" w:type="dxa"/>
            </w:tcMar>
          </w:tcPr>
          <w:p>
            <w:r>
              <w:rPr>
                <w:rFonts w:ascii="Aptos" w:hAnsi="Aptos"/>
                <w:sz w:val="18"/>
              </w:rPr>
              <w:t>Journal of Clinical Medicine - 5 Αυγούστου 2026</w:t>
            </w:r>
          </w:p>
          <w:p>
            <w:r>
              <w:rPr>
                <w:rFonts w:ascii="Aptos" w:hAnsi="Aptos"/>
                <w:b/>
                <w:sz w:val="18"/>
              </w:rPr>
              <w:t xml:space="preserve">Πηγή: </w:t>
            </w:r>
            <w:hyperlink r:id="rId21">
              <w:r>
                <w:rPr>
                  <w:color w:val="0563C1"/>
                  <w:u w:val="single"/>
                </w:rPr>
                <w:t>DOI: 10.3390/jcm15156099</w:t>
              </w:r>
            </w:hyperlink>
          </w:p>
        </w:tc>
        <w:tc>
          <w:tcPr>
            <w:tcW w:type="dxa" w:w="3969"/>
            <w:vAlign w:val="top"/>
            <w:tcMar>
              <w:top w:w="90" w:type="dxa"/>
              <w:start w:w="90" w:type="dxa"/>
              <w:bottom w:w="90" w:type="dxa"/>
              <w:end w:w="90" w:type="dxa"/>
            </w:tcMar>
          </w:tcPr>
          <w:p>
            <w:r>
              <w:rPr>
                <w:rFonts w:ascii="Aptos" w:hAnsi="Aptos"/>
                <w:sz w:val="18"/>
              </w:rPr>
              <w:t>Αναδεικνύει πώς οι φυσικοθεραπευτές συνδυάζουν θεραπευτική άσκηση, εκπαίδευση για τον πόνο, λειτουργικούς στόχους και εξατομίκευση στη διαχείριση της ινομυαλγίας. Υποστηρίζει τον ρόλο της κλινικής συλλογιστικής ως βασικής επαγγελματικής δεξιότητας.</w:t>
            </w:r>
          </w:p>
        </w:tc>
        <w:tc>
          <w:tcPr>
            <w:tcW w:type="dxa" w:w="1814"/>
            <w:vAlign w:val="top"/>
            <w:tcMar>
              <w:top w:w="90" w:type="dxa"/>
              <w:start w:w="90" w:type="dxa"/>
              <w:bottom w:w="90" w:type="dxa"/>
              <w:end w:w="90" w:type="dxa"/>
            </w:tcMar>
          </w:tcPr>
          <w:p>
            <w:r>
              <w:rPr>
                <w:rFonts w:ascii="Aptos" w:hAnsi="Aptos"/>
                <w:sz w:val="18"/>
              </w:rPr>
              <w:t>Μέτρια - ποιοτική μελέτη, ισχυρή για διερεύνηση κλινικής συλλογιστικής αλλά όχι για εκτίμηση θεραπευτικού αποτελέσματος.</w:t>
            </w:r>
          </w:p>
        </w:tc>
      </w:tr>
      <w:tr>
        <w:tc>
          <w:tcPr>
            <w:tcW w:type="dxa" w:w="2891"/>
            <w:vAlign w:val="top"/>
            <w:tcMar>
              <w:top w:w="90" w:type="dxa"/>
              <w:start w:w="90" w:type="dxa"/>
              <w:bottom w:w="90" w:type="dxa"/>
              <w:end w:w="90" w:type="dxa"/>
            </w:tcMar>
          </w:tcPr>
          <w:p>
            <w:r>
              <w:rPr>
                <w:rFonts w:ascii="Aptos" w:hAnsi="Aptos"/>
                <w:sz w:val="18"/>
              </w:rPr>
              <w:t>3. Φυσική αποκατάσταση νέας γενιάς μέσω καθηλωτικής εικονικής πραγματικότητας με υποστήριξη τεχνητής νοημοσύνης: σύντομη προοπτική</w:t>
            </w:r>
          </w:p>
        </w:tc>
        <w:tc>
          <w:tcPr>
            <w:tcW w:type="dxa" w:w="1928"/>
            <w:vAlign w:val="top"/>
            <w:tcMar>
              <w:top w:w="90" w:type="dxa"/>
              <w:start w:w="90" w:type="dxa"/>
              <w:bottom w:w="90" w:type="dxa"/>
              <w:end w:w="90" w:type="dxa"/>
            </w:tcMar>
          </w:tcPr>
          <w:p>
            <w:r>
              <w:rPr>
                <w:rFonts w:ascii="Aptos" w:hAnsi="Aptos"/>
                <w:sz w:val="18"/>
              </w:rPr>
              <w:t>Frontiers in Virtual Reality - 10 Αυγούστου 2026</w:t>
            </w:r>
          </w:p>
          <w:p>
            <w:r>
              <w:rPr>
                <w:rFonts w:ascii="Aptos" w:hAnsi="Aptos"/>
                <w:b/>
                <w:sz w:val="18"/>
              </w:rPr>
              <w:t xml:space="preserve">Πηγή: </w:t>
            </w:r>
            <w:hyperlink r:id="rId22">
              <w:r>
                <w:rPr>
                  <w:color w:val="0563C1"/>
                  <w:u w:val="single"/>
                </w:rPr>
                <w:t>DOI: 10.3389/frvir.2026.1760132</w:t>
              </w:r>
            </w:hyperlink>
          </w:p>
        </w:tc>
        <w:tc>
          <w:tcPr>
            <w:tcW w:type="dxa" w:w="3969"/>
            <w:vAlign w:val="top"/>
            <w:tcMar>
              <w:top w:w="90" w:type="dxa"/>
              <w:start w:w="90" w:type="dxa"/>
              <w:bottom w:w="90" w:type="dxa"/>
              <w:end w:w="90" w:type="dxa"/>
            </w:tcMar>
          </w:tcPr>
          <w:p>
            <w:r>
              <w:rPr>
                <w:rFonts w:ascii="Aptos" w:hAnsi="Aptos"/>
                <w:sz w:val="18"/>
              </w:rPr>
              <w:t>Εξετάζει πώς η ΤΝ μπορεί να εξατομικεύει την εικονική πραγματικότητα προσαρμόζοντας δυναμικά τη δυσκολία, την ανατροφοδότηση και το θεραπευτικό περιεχόμενο. Επισημαίνει παράλληλα σημαντικούς ηθικούς, οικονομικούς και εφαρμοστικούς περιορισμούς.</w:t>
            </w:r>
          </w:p>
        </w:tc>
        <w:tc>
          <w:tcPr>
            <w:tcW w:type="dxa" w:w="1814"/>
            <w:vAlign w:val="top"/>
            <w:tcMar>
              <w:top w:w="90" w:type="dxa"/>
              <w:start w:w="90" w:type="dxa"/>
              <w:bottom w:w="90" w:type="dxa"/>
              <w:end w:w="90" w:type="dxa"/>
            </w:tcMar>
          </w:tcPr>
          <w:p>
            <w:r>
              <w:rPr>
                <w:rFonts w:ascii="Aptos" w:hAnsi="Aptos"/>
                <w:sz w:val="18"/>
              </w:rPr>
              <w:t>Μέτρια - peer-reviewed perspective βασισμένη στην υπάρχουσα βιβλιογραφία, όχι μελέτη αποτελεσματικότητας.</w:t>
            </w:r>
          </w:p>
        </w:tc>
      </w:tr>
      <w:tr>
        <w:tc>
          <w:tcPr>
            <w:tcW w:type="dxa" w:w="2891"/>
            <w:vAlign w:val="top"/>
            <w:tcMar>
              <w:top w:w="90" w:type="dxa"/>
              <w:start w:w="90" w:type="dxa"/>
              <w:bottom w:w="90" w:type="dxa"/>
              <w:end w:w="90" w:type="dxa"/>
            </w:tcMar>
          </w:tcPr>
          <w:p>
            <w:r>
              <w:rPr>
                <w:rFonts w:ascii="Aptos" w:hAnsi="Aptos"/>
                <w:sz w:val="18"/>
              </w:rPr>
              <w:t>4. Pilates, AR/VR και άλλες τεχνολογικά υποστηριζόμενες μορφές άσκησης για ισορροπία και έλεγχο στάσης σε ηλικιωμένους</w:t>
            </w:r>
          </w:p>
        </w:tc>
        <w:tc>
          <w:tcPr>
            <w:tcW w:type="dxa" w:w="1928"/>
            <w:vAlign w:val="top"/>
            <w:tcMar>
              <w:top w:w="90" w:type="dxa"/>
              <w:start w:w="90" w:type="dxa"/>
              <w:bottom w:w="90" w:type="dxa"/>
              <w:end w:w="90" w:type="dxa"/>
            </w:tcMar>
          </w:tcPr>
          <w:p>
            <w:r>
              <w:rPr>
                <w:rFonts w:ascii="Aptos" w:hAnsi="Aptos"/>
                <w:sz w:val="18"/>
              </w:rPr>
              <w:t>Frontiers in Public Health - 7 Αυγούστου 2026</w:t>
            </w:r>
          </w:p>
          <w:p>
            <w:r>
              <w:rPr>
                <w:rFonts w:ascii="Aptos" w:hAnsi="Aptos"/>
                <w:b/>
                <w:sz w:val="18"/>
              </w:rPr>
              <w:t xml:space="preserve">Πηγή: </w:t>
            </w:r>
            <w:hyperlink r:id="rId23">
              <w:r>
                <w:rPr>
                  <w:color w:val="0563C1"/>
                  <w:u w:val="single"/>
                </w:rPr>
                <w:t>DOI: 10.3389/fpubh.2026.1899309</w:t>
              </w:r>
            </w:hyperlink>
          </w:p>
        </w:tc>
        <w:tc>
          <w:tcPr>
            <w:tcW w:type="dxa" w:w="3969"/>
            <w:vAlign w:val="top"/>
            <w:tcMar>
              <w:top w:w="90" w:type="dxa"/>
              <w:start w:w="90" w:type="dxa"/>
              <w:bottom w:w="90" w:type="dxa"/>
              <w:end w:w="90" w:type="dxa"/>
            </w:tcMar>
          </w:tcPr>
          <w:p>
            <w:r>
              <w:rPr>
                <w:rFonts w:ascii="Aptos" w:hAnsi="Aptos"/>
                <w:sz w:val="18"/>
              </w:rPr>
              <w:t>Συγκρίνει συμβατικές και τεχνολογικά υποστηριζόμενες προσεγγίσεις άσκησης για ισορροπία και έλεγχο στάσης σε ηλικιωμένους. Ενισχύει το μήνυμα ότι η τεχνολογία πρέπει να αξιολογείται σε συνάρτηση με τον σχεδιασμό και την ποιότητα της θεραπευτικής άσκησης.</w:t>
            </w:r>
          </w:p>
        </w:tc>
        <w:tc>
          <w:tcPr>
            <w:tcW w:type="dxa" w:w="1814"/>
            <w:vAlign w:val="top"/>
            <w:tcMar>
              <w:top w:w="90" w:type="dxa"/>
              <w:start w:w="90" w:type="dxa"/>
              <w:bottom w:w="90" w:type="dxa"/>
              <w:end w:w="90" w:type="dxa"/>
            </w:tcMar>
          </w:tcPr>
          <w:p>
            <w:r>
              <w:rPr>
                <w:rFonts w:ascii="Aptos" w:hAnsi="Aptos"/>
                <w:sz w:val="18"/>
              </w:rPr>
              <w:t>Υψηλή προς μέτρια - συστηματική ανασκόπηση με διερευνητική δικτυωτή μετα-ανάλυση, αλλά με περιορισμούς στην ποιότητα ορισμένων συγκρίσεων.</w:t>
            </w:r>
          </w:p>
        </w:tc>
      </w:tr>
      <w:tr>
        <w:tc>
          <w:tcPr>
            <w:tcW w:type="dxa" w:w="2891"/>
            <w:vAlign w:val="top"/>
            <w:tcMar>
              <w:top w:w="90" w:type="dxa"/>
              <w:start w:w="90" w:type="dxa"/>
              <w:bottom w:w="90" w:type="dxa"/>
              <w:end w:w="90" w:type="dxa"/>
            </w:tcMar>
          </w:tcPr>
          <w:p>
            <w:r>
              <w:rPr>
                <w:rFonts w:ascii="Aptos" w:hAnsi="Aptos"/>
                <w:sz w:val="18"/>
              </w:rPr>
              <w:t>5. Προπόνηση άσκησης στο πλαίσιο κατ’ οίκον πνευμονικής αποκατάστασης για ΧΑΠ: συστηματική ανασκόπηση και μετα-ανάλυση</w:t>
            </w:r>
          </w:p>
        </w:tc>
        <w:tc>
          <w:tcPr>
            <w:tcW w:type="dxa" w:w="1928"/>
            <w:vAlign w:val="top"/>
            <w:tcMar>
              <w:top w:w="90" w:type="dxa"/>
              <w:start w:w="90" w:type="dxa"/>
              <w:bottom w:w="90" w:type="dxa"/>
              <w:end w:w="90" w:type="dxa"/>
            </w:tcMar>
          </w:tcPr>
          <w:p>
            <w:r>
              <w:rPr>
                <w:rFonts w:ascii="Aptos" w:hAnsi="Aptos"/>
                <w:sz w:val="18"/>
              </w:rPr>
              <w:t>Scientific Reports - 6 Αυγούστου 2026</w:t>
            </w:r>
          </w:p>
          <w:p>
            <w:r>
              <w:rPr>
                <w:rFonts w:ascii="Aptos" w:hAnsi="Aptos"/>
                <w:b/>
                <w:sz w:val="18"/>
              </w:rPr>
              <w:t xml:space="preserve">Πηγή: </w:t>
            </w:r>
            <w:hyperlink r:id="rId24">
              <w:r>
                <w:rPr>
                  <w:color w:val="0563C1"/>
                  <w:u w:val="single"/>
                </w:rPr>
                <w:t>Επίσημη σελίδα Nature / Scientific Reports</w:t>
              </w:r>
            </w:hyperlink>
          </w:p>
        </w:tc>
        <w:tc>
          <w:tcPr>
            <w:tcW w:type="dxa" w:w="3969"/>
            <w:vAlign w:val="top"/>
            <w:tcMar>
              <w:top w:w="90" w:type="dxa"/>
              <w:start w:w="90" w:type="dxa"/>
              <w:bottom w:w="90" w:type="dxa"/>
              <w:end w:w="90" w:type="dxa"/>
            </w:tcMar>
          </w:tcPr>
          <w:p>
            <w:r>
              <w:rPr>
                <w:rFonts w:ascii="Aptos" w:hAnsi="Aptos"/>
                <w:sz w:val="18"/>
              </w:rPr>
              <w:t>Υποστηρίζει τη δομημένη άσκηση στο πλαίσιο κατ’ οίκον πνευμονικής αποκατάστασης για ΧΑΠ. Ενισχύει την έννοια της οργανωμένης, επαγγελματικά σχεδιασμένης και παρακολουθούμενης κατ’ οίκον ή υβριδικής αποκατάστασης.</w:t>
            </w:r>
          </w:p>
        </w:tc>
        <w:tc>
          <w:tcPr>
            <w:tcW w:type="dxa" w:w="1814"/>
            <w:vAlign w:val="top"/>
            <w:tcMar>
              <w:top w:w="90" w:type="dxa"/>
              <w:start w:w="90" w:type="dxa"/>
              <w:bottom w:w="90" w:type="dxa"/>
              <w:end w:w="90" w:type="dxa"/>
            </w:tcMar>
          </w:tcPr>
          <w:p>
            <w:r>
              <w:rPr>
                <w:rFonts w:ascii="Aptos" w:hAnsi="Aptos"/>
                <w:sz w:val="18"/>
              </w:rPr>
              <w:t>Υψηλή - συστηματική ανασκόπηση και μετα-ανάλυση.</w:t>
            </w:r>
          </w:p>
        </w:tc>
      </w:tr>
      <w:tr>
        <w:tc>
          <w:tcPr>
            <w:tcW w:type="dxa" w:w="2891"/>
            <w:vAlign w:val="top"/>
            <w:tcMar>
              <w:top w:w="90" w:type="dxa"/>
              <w:start w:w="90" w:type="dxa"/>
              <w:bottom w:w="90" w:type="dxa"/>
              <w:end w:w="90" w:type="dxa"/>
            </w:tcMar>
          </w:tcPr>
          <w:p>
            <w:r>
              <w:rPr>
                <w:rFonts w:ascii="Aptos" w:hAnsi="Aptos"/>
                <w:sz w:val="18"/>
              </w:rPr>
              <w:t>6. Προπόνηση με περιορισμό της αιματικής ροής στη μυοσκελετική αποκατάσταση: ανασκόπηση πεδίου τυχαιοποιημένων ελεγχόμενων μελετών</w:t>
            </w:r>
          </w:p>
        </w:tc>
        <w:tc>
          <w:tcPr>
            <w:tcW w:type="dxa" w:w="1928"/>
            <w:vAlign w:val="top"/>
            <w:tcMar>
              <w:top w:w="90" w:type="dxa"/>
              <w:start w:w="90" w:type="dxa"/>
              <w:bottom w:w="90" w:type="dxa"/>
              <w:end w:w="90" w:type="dxa"/>
            </w:tcMar>
          </w:tcPr>
          <w:p>
            <w:r>
              <w:rPr>
                <w:rFonts w:ascii="Aptos" w:hAnsi="Aptos"/>
                <w:sz w:val="18"/>
              </w:rPr>
              <w:t>BMC Sports Science, Medicine and Rehabilitation - 5 Αυγούστου 2026</w:t>
            </w:r>
          </w:p>
          <w:p>
            <w:r>
              <w:rPr>
                <w:rFonts w:ascii="Aptos" w:hAnsi="Aptos"/>
                <w:b/>
                <w:sz w:val="18"/>
              </w:rPr>
              <w:t xml:space="preserve">Πηγή: </w:t>
            </w:r>
            <w:hyperlink r:id="rId25">
              <w:r>
                <w:rPr>
                  <w:color w:val="0563C1"/>
                  <w:u w:val="single"/>
                </w:rPr>
                <w:t>DOI: 10.1186/s13102-026-01941-0</w:t>
              </w:r>
            </w:hyperlink>
          </w:p>
        </w:tc>
        <w:tc>
          <w:tcPr>
            <w:tcW w:type="dxa" w:w="3969"/>
            <w:vAlign w:val="top"/>
            <w:tcMar>
              <w:top w:w="90" w:type="dxa"/>
              <w:start w:w="90" w:type="dxa"/>
              <w:bottom w:w="90" w:type="dxa"/>
              <w:end w:w="90" w:type="dxa"/>
            </w:tcMar>
          </w:tcPr>
          <w:p>
            <w:r>
              <w:rPr>
                <w:rFonts w:ascii="Aptos" w:hAnsi="Aptos"/>
                <w:sz w:val="18"/>
              </w:rPr>
              <w:t>Η προπόνηση με περιορισμό αιματικής ροής μπορεί να επιτρέπει προσαρμογές δύναμης και μυϊκής υπερτροφίας με χαμηλότερα εξωτερικά φορτία, κάτι δυνητικά χρήσιμο σε ασθενείς που δεν ανέχονται υψηλά φορτία. Παραμένει ετερογένεια στα πρωτόκολλα.</w:t>
            </w:r>
          </w:p>
        </w:tc>
        <w:tc>
          <w:tcPr>
            <w:tcW w:type="dxa" w:w="1814"/>
            <w:vAlign w:val="top"/>
            <w:tcMar>
              <w:top w:w="90" w:type="dxa"/>
              <w:start w:w="90" w:type="dxa"/>
              <w:bottom w:w="90" w:type="dxa"/>
              <w:end w:w="90" w:type="dxa"/>
            </w:tcMar>
          </w:tcPr>
          <w:p>
            <w:r>
              <w:rPr>
                <w:rFonts w:ascii="Aptos" w:hAnsi="Aptos"/>
                <w:sz w:val="18"/>
              </w:rPr>
              <w:t>Μέτρια προς υψηλή - εκτενής scoping review τυχαιοποιημένων μελετών, χωρίς ενιαία ποσοτική μετα-ανάλυση.</w:t>
            </w:r>
          </w:p>
        </w:tc>
      </w:tr>
      <w:tr>
        <w:tc>
          <w:tcPr>
            <w:tcW w:type="dxa" w:w="2891"/>
            <w:vAlign w:val="top"/>
            <w:tcMar>
              <w:top w:w="90" w:type="dxa"/>
              <w:start w:w="90" w:type="dxa"/>
              <w:bottom w:w="90" w:type="dxa"/>
              <w:end w:w="90" w:type="dxa"/>
            </w:tcMar>
          </w:tcPr>
          <w:p>
            <w:r>
              <w:rPr>
                <w:rFonts w:ascii="Aptos" w:hAnsi="Aptos"/>
                <w:sz w:val="18"/>
              </w:rPr>
              <w:t>7. Βελτίωση της γνωστικής ευελιξίας μετά από διαλειμματική προπόνηση υψηλής έντασης (HIIT) σε άτομα με νόσο Parkinson: πιλοτική RCT</w:t>
            </w:r>
          </w:p>
        </w:tc>
        <w:tc>
          <w:tcPr>
            <w:tcW w:type="dxa" w:w="1928"/>
            <w:vAlign w:val="top"/>
            <w:tcMar>
              <w:top w:w="90" w:type="dxa"/>
              <w:start w:w="90" w:type="dxa"/>
              <w:bottom w:w="90" w:type="dxa"/>
              <w:end w:w="90" w:type="dxa"/>
            </w:tcMar>
          </w:tcPr>
          <w:p>
            <w:r>
              <w:rPr>
                <w:rFonts w:ascii="Aptos" w:hAnsi="Aptos"/>
                <w:sz w:val="18"/>
              </w:rPr>
              <w:t>Frontiers in Rehabilitation Sciences - 5 Αυγούστου 2026</w:t>
            </w:r>
          </w:p>
          <w:p>
            <w:r>
              <w:rPr>
                <w:rFonts w:ascii="Aptos" w:hAnsi="Aptos"/>
                <w:b/>
                <w:sz w:val="18"/>
              </w:rPr>
              <w:t xml:space="preserve">Πηγή: </w:t>
            </w:r>
            <w:hyperlink r:id="rId26">
              <w:r>
                <w:rPr>
                  <w:color w:val="0563C1"/>
                  <w:u w:val="single"/>
                </w:rPr>
                <w:t>DOI: 10.3389/fresc.2026.1835182</w:t>
              </w:r>
            </w:hyperlink>
          </w:p>
        </w:tc>
        <w:tc>
          <w:tcPr>
            <w:tcW w:type="dxa" w:w="3969"/>
            <w:vAlign w:val="top"/>
            <w:tcMar>
              <w:top w:w="90" w:type="dxa"/>
              <w:start w:w="90" w:type="dxa"/>
              <w:bottom w:w="90" w:type="dxa"/>
              <w:end w:w="90" w:type="dxa"/>
            </w:tcMar>
          </w:tcPr>
          <w:p>
            <w:r>
              <w:rPr>
                <w:rFonts w:ascii="Aptos" w:hAnsi="Aptos"/>
                <w:sz w:val="18"/>
              </w:rPr>
              <w:t>Υποδηλώνει ότι κατάλληλα συνταγογραφημένη HIIT στη νόσο Parkinson μπορεί να επηρεάζει όχι μόνο τη φυσική ικανότητα αλλά και τη γνωστική ευελιξία. Αποτελεί ενδιαφέρον παράδειγμα άσκησης με πιθανές κινητικές και μη κινητικές επιδράσεις.</w:t>
            </w:r>
          </w:p>
        </w:tc>
        <w:tc>
          <w:tcPr>
            <w:tcW w:type="dxa" w:w="1814"/>
            <w:vAlign w:val="top"/>
            <w:tcMar>
              <w:top w:w="90" w:type="dxa"/>
              <w:start w:w="90" w:type="dxa"/>
              <w:bottom w:w="90" w:type="dxa"/>
              <w:end w:w="90" w:type="dxa"/>
            </w:tcMar>
          </w:tcPr>
          <w:p>
            <w:r>
              <w:rPr>
                <w:rFonts w:ascii="Aptos" w:hAnsi="Aptos"/>
                <w:sz w:val="18"/>
              </w:rPr>
              <w:t>Μέτρια - τυχαιοποιημένη ελεγχόμενη μελέτη, αλλά πιλοτικού χαρακτήρα και με ανάγκη επιβεβαίωσης σε μεγαλύτερα δείγματα.</w:t>
            </w:r>
          </w:p>
        </w:tc>
      </w:tr>
      <w:tr>
        <w:tc>
          <w:tcPr>
            <w:tcW w:type="dxa" w:w="2891"/>
            <w:vAlign w:val="top"/>
            <w:tcMar>
              <w:top w:w="90" w:type="dxa"/>
              <w:start w:w="90" w:type="dxa"/>
              <w:bottom w:w="90" w:type="dxa"/>
              <w:end w:w="90" w:type="dxa"/>
            </w:tcMar>
          </w:tcPr>
          <w:p>
            <w:r>
              <w:rPr>
                <w:rFonts w:ascii="Aptos" w:hAnsi="Aptos"/>
                <w:sz w:val="18"/>
              </w:rPr>
              <w:t>8. Επίδραση της επίβλεψης στην αερόβια προπόνηση, τη φυσική κατάσταση και τις κλινικές εκβάσεις: συστηματική ανασκόπηση και μετα-ανάλυση</w:t>
            </w:r>
          </w:p>
        </w:tc>
        <w:tc>
          <w:tcPr>
            <w:tcW w:type="dxa" w:w="1928"/>
            <w:vAlign w:val="top"/>
            <w:tcMar>
              <w:top w:w="90" w:type="dxa"/>
              <w:start w:w="90" w:type="dxa"/>
              <w:bottom w:w="90" w:type="dxa"/>
              <w:end w:w="90" w:type="dxa"/>
            </w:tcMar>
          </w:tcPr>
          <w:p>
            <w:r>
              <w:rPr>
                <w:rFonts w:ascii="Aptos" w:hAnsi="Aptos"/>
                <w:sz w:val="18"/>
              </w:rPr>
              <w:t>British Journal of Anaesthesia - online 4 Αυγούστου 2026</w:t>
            </w:r>
          </w:p>
          <w:p>
            <w:r>
              <w:rPr>
                <w:rFonts w:ascii="Aptos" w:hAnsi="Aptos"/>
                <w:b/>
                <w:sz w:val="18"/>
              </w:rPr>
              <w:t xml:space="preserve">Πηγή: </w:t>
            </w:r>
            <w:hyperlink r:id="rId27">
              <w:r>
                <w:rPr>
                  <w:color w:val="0563C1"/>
                  <w:u w:val="single"/>
                </w:rPr>
                <w:t>DOI: 10.1016/j.bja.2026.06.017</w:t>
              </w:r>
            </w:hyperlink>
          </w:p>
        </w:tc>
        <w:tc>
          <w:tcPr>
            <w:tcW w:type="dxa" w:w="3969"/>
            <w:vAlign w:val="top"/>
            <w:tcMar>
              <w:top w:w="90" w:type="dxa"/>
              <w:start w:w="90" w:type="dxa"/>
              <w:bottom w:w="90" w:type="dxa"/>
              <w:end w:w="90" w:type="dxa"/>
            </w:tcMar>
          </w:tcPr>
          <w:p>
            <w:r>
              <w:rPr>
                <w:rFonts w:ascii="Aptos" w:hAnsi="Aptos"/>
                <w:sz w:val="18"/>
              </w:rPr>
              <w:t>Εξετάζει ειδικά αν η επαγγελματική επίβλεψη επηρεάζει τα αποτελέσματα της αερόβιας άσκησης. Είναι ιδιαίτερα χρήσιμη για τη διάκριση μεταξύ μιας γενικής σύστασης για άσκηση και ενός επαγγελματικά σχεδιασμένου, δοσολογημένου, επιβλεπόμενου και προσαρμοζόμενου θεραπευτικού προγράμματος.</w:t>
            </w:r>
          </w:p>
        </w:tc>
        <w:tc>
          <w:tcPr>
            <w:tcW w:type="dxa" w:w="1814"/>
            <w:vAlign w:val="top"/>
            <w:tcMar>
              <w:top w:w="90" w:type="dxa"/>
              <w:start w:w="90" w:type="dxa"/>
              <w:bottom w:w="90" w:type="dxa"/>
              <w:end w:w="90" w:type="dxa"/>
            </w:tcMar>
          </w:tcPr>
          <w:p>
            <w:r>
              <w:rPr>
                <w:rFonts w:ascii="Aptos" w:hAnsi="Aptos"/>
                <w:sz w:val="18"/>
              </w:rPr>
              <w:t>Υψηλή - συστηματική ανασκόπηση και μετα-ανάλυση.</w:t>
            </w:r>
          </w:p>
        </w:tc>
      </w:tr>
      <w:tr>
        <w:tc>
          <w:tcPr>
            <w:tcW w:type="dxa" w:w="2891"/>
            <w:vAlign w:val="top"/>
            <w:tcMar>
              <w:top w:w="90" w:type="dxa"/>
              <w:start w:w="90" w:type="dxa"/>
              <w:bottom w:w="90" w:type="dxa"/>
              <w:end w:w="90" w:type="dxa"/>
            </w:tcMar>
          </w:tcPr>
          <w:p>
            <w:r>
              <w:rPr>
                <w:rFonts w:ascii="Aptos" w:hAnsi="Aptos"/>
                <w:sz w:val="18"/>
              </w:rPr>
              <w:t>9. Σύγχρονοι εξωσκελετοί γόνατος για υποβοήθηση της βάδισης και αποκατάσταση: συστηματική ανασκόπηση</w:t>
            </w:r>
          </w:p>
        </w:tc>
        <w:tc>
          <w:tcPr>
            <w:tcW w:type="dxa" w:w="1928"/>
            <w:vAlign w:val="top"/>
            <w:tcMar>
              <w:top w:w="90" w:type="dxa"/>
              <w:start w:w="90" w:type="dxa"/>
              <w:bottom w:w="90" w:type="dxa"/>
              <w:end w:w="90" w:type="dxa"/>
            </w:tcMar>
          </w:tcPr>
          <w:p>
            <w:r>
              <w:rPr>
                <w:rFonts w:ascii="Aptos" w:hAnsi="Aptos"/>
                <w:sz w:val="18"/>
              </w:rPr>
              <w:t>JMIR Rehabilitation and Assistive Technologies - 4 Αυγούστου 2026</w:t>
            </w:r>
          </w:p>
          <w:p>
            <w:r>
              <w:rPr>
                <w:rFonts w:ascii="Aptos" w:hAnsi="Aptos"/>
                <w:b/>
                <w:sz w:val="18"/>
              </w:rPr>
              <w:t xml:space="preserve">Πηγή: </w:t>
            </w:r>
            <w:hyperlink r:id="rId28">
              <w:r>
                <w:rPr>
                  <w:color w:val="0563C1"/>
                  <w:u w:val="single"/>
                </w:rPr>
                <w:t>DOI: 10.2196/94916</w:t>
              </w:r>
            </w:hyperlink>
          </w:p>
        </w:tc>
        <w:tc>
          <w:tcPr>
            <w:tcW w:type="dxa" w:w="3969"/>
            <w:vAlign w:val="top"/>
            <w:tcMar>
              <w:top w:w="90" w:type="dxa"/>
              <w:start w:w="90" w:type="dxa"/>
              <w:bottom w:w="90" w:type="dxa"/>
              <w:end w:w="90" w:type="dxa"/>
            </w:tcMar>
          </w:tcPr>
          <w:p>
            <w:r>
              <w:rPr>
                <w:rFonts w:ascii="Aptos" w:hAnsi="Aptos"/>
                <w:sz w:val="18"/>
              </w:rPr>
              <w:t>Ανασκοπεί τις σύγχρονες τεχνολογίες εξωσκελετών γόνατος για υποβοήθηση βάδισης και αποκατάσταση. Το βασικό μήνυμα είναι ότι η τεχνολογία αποτελεί εργαλείο μέσα σε ένα θεραπευτικό πρόγραμμα και η αξία της εξαρτάται από επιλογή ασθενή, στόχους και λειτουργικά αποτελέσματα.</w:t>
            </w:r>
          </w:p>
        </w:tc>
        <w:tc>
          <w:tcPr>
            <w:tcW w:type="dxa" w:w="1814"/>
            <w:vAlign w:val="top"/>
            <w:tcMar>
              <w:top w:w="90" w:type="dxa"/>
              <w:start w:w="90" w:type="dxa"/>
              <w:bottom w:w="90" w:type="dxa"/>
              <w:end w:w="90" w:type="dxa"/>
            </w:tcMar>
          </w:tcPr>
          <w:p>
            <w:r>
              <w:rPr>
                <w:rFonts w:ascii="Aptos" w:hAnsi="Aptos"/>
                <w:sz w:val="18"/>
              </w:rPr>
              <w:t>Υψηλή προς μέτρια - συστηματική ανασκόπηση, με ετερογένεια και περιορισμούς στις πρωτογενείς τεχνολογικές/κλινικές μελέτες.</w:t>
            </w:r>
          </w:p>
        </w:tc>
      </w:tr>
      <w:tr>
        <w:tc>
          <w:tcPr>
            <w:tcW w:type="dxa" w:w="2891"/>
            <w:vAlign w:val="top"/>
            <w:tcMar>
              <w:top w:w="90" w:type="dxa"/>
              <w:start w:w="90" w:type="dxa"/>
              <w:bottom w:w="90" w:type="dxa"/>
              <w:end w:w="90" w:type="dxa"/>
            </w:tcMar>
          </w:tcPr>
          <w:p>
            <w:r>
              <w:rPr>
                <w:rFonts w:ascii="Aptos" w:hAnsi="Aptos"/>
                <w:sz w:val="18"/>
              </w:rPr>
              <w:t>10. Αποκατάσταση στη Long COVID: συστηματική ανασκόπηση και μετα-ανάλυση</w:t>
            </w:r>
          </w:p>
        </w:tc>
        <w:tc>
          <w:tcPr>
            <w:tcW w:type="dxa" w:w="1928"/>
            <w:vAlign w:val="top"/>
            <w:tcMar>
              <w:top w:w="90" w:type="dxa"/>
              <w:start w:w="90" w:type="dxa"/>
              <w:bottom w:w="90" w:type="dxa"/>
              <w:end w:w="90" w:type="dxa"/>
            </w:tcMar>
          </w:tcPr>
          <w:p>
            <w:r>
              <w:rPr>
                <w:rFonts w:ascii="Aptos" w:hAnsi="Aptos"/>
                <w:sz w:val="18"/>
              </w:rPr>
              <w:t>ERJ Open Research - 3 Αυγούστου 2026</w:t>
            </w:r>
          </w:p>
          <w:p>
            <w:r>
              <w:rPr>
                <w:rFonts w:ascii="Aptos" w:hAnsi="Aptos"/>
                <w:b/>
                <w:sz w:val="18"/>
              </w:rPr>
              <w:t xml:space="preserve">Πηγή: </w:t>
            </w:r>
            <w:hyperlink r:id="rId29">
              <w:r>
                <w:rPr>
                  <w:color w:val="0563C1"/>
                  <w:u w:val="single"/>
                </w:rPr>
                <w:t>DOI: 10.1183/23120541.00133-2026</w:t>
              </w:r>
            </w:hyperlink>
          </w:p>
        </w:tc>
        <w:tc>
          <w:tcPr>
            <w:tcW w:type="dxa" w:w="3969"/>
            <w:vAlign w:val="top"/>
            <w:tcMar>
              <w:top w:w="90" w:type="dxa"/>
              <w:start w:w="90" w:type="dxa"/>
              <w:bottom w:w="90" w:type="dxa"/>
              <w:end w:w="90" w:type="dxa"/>
            </w:tcMar>
          </w:tcPr>
          <w:p>
            <w:r>
              <w:rPr>
                <w:rFonts w:ascii="Aptos" w:hAnsi="Aptos"/>
                <w:sz w:val="18"/>
              </w:rPr>
              <w:t>Συνθέτει την τρέχουσα τεκμηρίωση για την αποκατάσταση στη Long COVID, με έμφαση σε λειτουργικότητα, ικανότητα άσκησης και επίμονα συμπτώματα. Υποστηρίζει τον ρόλο δομημένων προγραμμάτων αποκατάστασης, με προσοχή στην ετερογένεια της νόσου και των παρεμβάσεων.</w:t>
            </w:r>
          </w:p>
        </w:tc>
        <w:tc>
          <w:tcPr>
            <w:tcW w:type="dxa" w:w="1814"/>
            <w:vAlign w:val="top"/>
            <w:tcMar>
              <w:top w:w="90" w:type="dxa"/>
              <w:start w:w="90" w:type="dxa"/>
              <w:bottom w:w="90" w:type="dxa"/>
              <w:end w:w="90" w:type="dxa"/>
            </w:tcMar>
          </w:tcPr>
          <w:p>
            <w:r>
              <w:rPr>
                <w:rFonts w:ascii="Aptos" w:hAnsi="Aptos"/>
                <w:sz w:val="18"/>
              </w:rPr>
              <w:t>Υψηλή - συστηματική ανασκόπηση και μετα-ανάλυση, με σημαντική ετερογένεια στους πληθυσμούς και τις παρεμβάσεις.</w:t>
            </w:r>
          </w:p>
        </w:tc>
      </w:tr>
    </w:tbl>
    <w:p/>
    <w:p>
      <w:r>
        <w:rPr>
          <w:b/>
          <w:sz w:val="22"/>
        </w:rPr>
        <w:t>Σημείωση</w:t>
      </w:r>
    </w:p>
    <w:p>
      <w:pPr>
        <w:jc w:val="both"/>
      </w:pPr>
      <w:r>
        <w:t>Το παρόν έγγραφο περιλαμβάνει αποκλειστικά τις επιλεγμένες δημοσιεύσεις της εβδομάδας και σύντομη αποτύπωση της πρακτικής τους σημασίας. Το κείμενο της σχετικής ανακοίνωσης του Π.Σ.Φ. θα διαμορφωθεί σε επόμενο στάδιο.</w:t>
      </w:r>
    </w:p>
    <w:p>
      <w:r>
        <w:t>Οι παραπάνω σύνδεσμοι παραπέμπουν στην επίσημη σελίδα DOI του εκδότη ή στην επίσημη σελίδα του περιοδικού.</w:t>
      </w:r>
    </w:p>
    <w:sectPr w:rsidR="00FC693F" w:rsidRPr="0006063C" w:rsidSect="00034616">
      <w:footerReference w:type="default" r:id="rId9"/>
      <w:pgSz w:w="12240" w:h="15840"/>
      <w:pgMar w:top="964" w:right="964" w:bottom="96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Εβδομαδιαία επιστημονική ενημέρωση - 21 Αυγούστου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doi.org/10.1097/PR9.0000000000001455" TargetMode="External"/><Relationship Id="rId11" Type="http://schemas.openxmlformats.org/officeDocument/2006/relationships/hyperlink" Target="https://doi.org/10.1097/PHM.0000000000002914" TargetMode="External"/><Relationship Id="rId12" Type="http://schemas.openxmlformats.org/officeDocument/2006/relationships/hyperlink" Target="https://doi.org/10.1177/2161783X261421436" TargetMode="External"/><Relationship Id="rId13" Type="http://schemas.openxmlformats.org/officeDocument/2006/relationships/hyperlink" Target="https://doi.org/10.1097/PHM.0000000000002941" TargetMode="External"/><Relationship Id="rId14" Type="http://schemas.openxmlformats.org/officeDocument/2006/relationships/hyperlink" Target="https://doi.org/10.1097/PHM.0000000000002966" TargetMode="External"/><Relationship Id="rId15" Type="http://schemas.openxmlformats.org/officeDocument/2006/relationships/hyperlink" Target="https://pubmed.ncbi.nlm.nih.gov/42287858/" TargetMode="External"/><Relationship Id="rId16" Type="http://schemas.openxmlformats.org/officeDocument/2006/relationships/hyperlink" Target="https://pubmed.ncbi.nlm.nih.gov/42407383/" TargetMode="External"/><Relationship Id="rId17" Type="http://schemas.openxmlformats.org/officeDocument/2006/relationships/hyperlink" Target="https://doi.org/10.1016/j.msksp.2026.103572" TargetMode="External"/><Relationship Id="rId18" Type="http://schemas.openxmlformats.org/officeDocument/2006/relationships/hyperlink" Target="https://doi.org/10.1111/jocn.70277" TargetMode="External"/><Relationship Id="rId19" Type="http://schemas.openxmlformats.org/officeDocument/2006/relationships/hyperlink" Target="https://doi.org/10.1016/j.knee.2026.104430" TargetMode="External"/><Relationship Id="rId20" Type="http://schemas.openxmlformats.org/officeDocument/2006/relationships/hyperlink" Target="https://rehab.jmir.org/2026/1/e100614" TargetMode="External"/><Relationship Id="rId21" Type="http://schemas.openxmlformats.org/officeDocument/2006/relationships/hyperlink" Target="https://doi.org/10.3390/jcm15156099" TargetMode="External"/><Relationship Id="rId22" Type="http://schemas.openxmlformats.org/officeDocument/2006/relationships/hyperlink" Target="https://doi.org/10.3389/frvir.2026.1760132" TargetMode="External"/><Relationship Id="rId23" Type="http://schemas.openxmlformats.org/officeDocument/2006/relationships/hyperlink" Target="https://doi.org/10.3389/fpubh.2026.1899309" TargetMode="External"/><Relationship Id="rId24" Type="http://schemas.openxmlformats.org/officeDocument/2006/relationships/hyperlink" Target="https://www.nature.com/articles/s41598-026-64031-8" TargetMode="External"/><Relationship Id="rId25" Type="http://schemas.openxmlformats.org/officeDocument/2006/relationships/hyperlink" Target="https://doi.org/10.1186/s13102-026-01941-0" TargetMode="External"/><Relationship Id="rId26" Type="http://schemas.openxmlformats.org/officeDocument/2006/relationships/hyperlink" Target="https://doi.org/10.3389/fresc.2026.1835182" TargetMode="External"/><Relationship Id="rId27" Type="http://schemas.openxmlformats.org/officeDocument/2006/relationships/hyperlink" Target="https://doi.org/10.1016/j.bja.2026.06.017" TargetMode="External"/><Relationship Id="rId28" Type="http://schemas.openxmlformats.org/officeDocument/2006/relationships/hyperlink" Target="https://doi.org/10.2196/94916" TargetMode="External"/><Relationship Id="rId29" Type="http://schemas.openxmlformats.org/officeDocument/2006/relationships/hyperlink" Target="https://doi.org/10.1183/23120541.00133-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